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06D" w:rsidRDefault="009E706D">
      <w:pPr>
        <w:jc w:val="right"/>
        <w:rPr>
          <w:b/>
          <w:bCs/>
        </w:rPr>
      </w:pPr>
    </w:p>
    <w:p w:rsidR="001B48CA" w:rsidRDefault="00D76B8F">
      <w:pPr>
        <w:jc w:val="right"/>
      </w:pPr>
      <w:r>
        <w:rPr>
          <w:b/>
          <w:bCs/>
        </w:rPr>
        <w:t>Policy: 2024</w:t>
      </w:r>
      <w:r>
        <w:rPr>
          <w:b/>
          <w:bCs/>
        </w:rPr>
        <w:br/>
        <w:t>Section: 2000 - Instruction</w:t>
      </w:r>
    </w:p>
    <w:p w:rsidR="001B48CA" w:rsidRDefault="00BD7A4F">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1B48CA" w:rsidRDefault="001B48CA">
      <w:pPr>
        <w:rPr>
          <w:rFonts w:ascii="Times New Roman" w:eastAsia="Times New Roman" w:hAnsi="Times New Roman"/>
          <w:sz w:val="24"/>
          <w:szCs w:val="24"/>
        </w:rPr>
      </w:pPr>
    </w:p>
    <w:p w:rsidR="001B48CA" w:rsidRDefault="00D76B8F">
      <w:pPr>
        <w:pStyle w:val="NormalWeb"/>
        <w:rPr>
          <w:sz w:val="32"/>
          <w:szCs w:val="32"/>
        </w:rPr>
      </w:pPr>
      <w:r>
        <w:rPr>
          <w:b/>
          <w:bCs/>
          <w:sz w:val="32"/>
          <w:szCs w:val="32"/>
        </w:rPr>
        <w:t>Online Learning</w:t>
      </w:r>
    </w:p>
    <w:p w:rsidR="001B48CA" w:rsidRDefault="001B48CA">
      <w:pPr>
        <w:rPr>
          <w:rFonts w:ascii="Times New Roman" w:eastAsia="Times New Roman" w:hAnsi="Times New Roman"/>
          <w:sz w:val="24"/>
          <w:szCs w:val="24"/>
        </w:rPr>
      </w:pPr>
    </w:p>
    <w:p w:rsidR="001B48CA" w:rsidRDefault="00085795">
      <w:pPr>
        <w:pStyle w:val="NormalWeb"/>
      </w:pPr>
      <w:r>
        <w:rPr>
          <w:sz w:val="18"/>
          <w:szCs w:val="18"/>
        </w:rPr>
        <w:t xml:space="preserve">The </w:t>
      </w:r>
      <w:r w:rsidRPr="00BD7A4F">
        <w:rPr>
          <w:sz w:val="18"/>
          <w:szCs w:val="18"/>
        </w:rPr>
        <w:t>Oakville School District</w:t>
      </w:r>
      <w:r w:rsidR="00D76B8F">
        <w:rPr>
          <w:sz w:val="18"/>
          <w:szCs w:val="18"/>
        </w:rPr>
        <w:t xml:space="preserve"> Board of Directors believes that a variety of learning options, including online courses and programs, are critical for 21st century learners. The board recognizes that the online learning environment provides students with unique opportunities to become self-disciplined learners with life-long learning skills. Further, the board believes that online learning provides tremendous opportunities for students to access curriculum and specialized courses in a flexible learning environment that might not otherwise be available.</w:t>
      </w:r>
    </w:p>
    <w:p w:rsidR="001B48CA" w:rsidRDefault="00D76B8F">
      <w:pPr>
        <w:pStyle w:val="NormalWeb"/>
      </w:pPr>
      <w:r>
        <w:br/>
      </w:r>
      <w:r>
        <w:rPr>
          <w:sz w:val="18"/>
          <w:szCs w:val="18"/>
        </w:rPr>
        <w:t>Therefore, the board supports a range of online learning opportunities that are equally accessible to all students in the school district. The board directs the superintendent to provide information to parents, students and staff regarding online learning options and the guidelines for participation.</w:t>
      </w:r>
    </w:p>
    <w:p w:rsidR="001B48CA" w:rsidRDefault="00D76B8F">
      <w:pPr>
        <w:pStyle w:val="NormalWeb"/>
      </w:pPr>
      <w:r>
        <w:br/>
      </w:r>
      <w:r>
        <w:rPr>
          <w:sz w:val="18"/>
          <w:szCs w:val="18"/>
        </w:rPr>
        <w:t>The superintendent or designee will develop procedures to implement this policy. The procedures will include, but not be limited to, a description of student access to online learning courses/grade level coursework, student eligibility criteria, the types of online courses available to students, methods the district will use to support student success, payment of course fees and other costs, granting of course credit, and conditions under which no credit will be awarded.</w:t>
      </w:r>
    </w:p>
    <w:p w:rsidR="001B48CA" w:rsidRPr="00BE6100" w:rsidRDefault="00D76B8F" w:rsidP="00BE6100">
      <w:pPr>
        <w:pStyle w:val="NormalWeb"/>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042"/>
      </w:tblGrid>
      <w:tr w:rsidR="001B48CA">
        <w:trPr>
          <w:tblCellSpacing w:w="15" w:type="dxa"/>
        </w:trPr>
        <w:tc>
          <w:tcPr>
            <w:tcW w:w="3000" w:type="dxa"/>
            <w:vAlign w:val="center"/>
            <w:hideMark/>
          </w:tcPr>
          <w:p w:rsidR="001B48CA" w:rsidRDefault="00D76B8F">
            <w:r>
              <w:t xml:space="preserve">Cross References: </w:t>
            </w:r>
          </w:p>
        </w:tc>
        <w:tc>
          <w:tcPr>
            <w:tcW w:w="0" w:type="auto"/>
            <w:vAlign w:val="center"/>
            <w:hideMark/>
          </w:tcPr>
          <w:p w:rsidR="001B48CA" w:rsidRDefault="00D76B8F">
            <w:r>
              <w:t xml:space="preserve">2410 - High School Graduation Requirements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2255 - Alternative Learning Experience Programs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2022 - Electronic Resources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1B48CA"/>
        </w:tc>
      </w:tr>
    </w:tbl>
    <w:p w:rsidR="001B48CA" w:rsidRPr="00BE6100" w:rsidRDefault="001B48CA">
      <w:pPr>
        <w:spacing w:after="240"/>
        <w:rPr>
          <w:rFonts w:ascii="Times New Roman" w:eastAsia="Times New Roman" w:hAnsi="Times New Roman"/>
          <w:sz w:val="8"/>
          <w:szCs w:val="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1B48CA">
        <w:trPr>
          <w:tblCellSpacing w:w="15" w:type="dxa"/>
        </w:trPr>
        <w:tc>
          <w:tcPr>
            <w:tcW w:w="3000" w:type="dxa"/>
            <w:vAlign w:val="center"/>
            <w:hideMark/>
          </w:tcPr>
          <w:p w:rsidR="001B48CA" w:rsidRDefault="00D76B8F">
            <w:r>
              <w:t xml:space="preserve">Legal References: </w:t>
            </w:r>
          </w:p>
        </w:tc>
        <w:tc>
          <w:tcPr>
            <w:tcW w:w="0" w:type="auto"/>
            <w:vAlign w:val="center"/>
            <w:hideMark/>
          </w:tcPr>
          <w:p w:rsidR="001B48CA" w:rsidRDefault="00D76B8F">
            <w:r>
              <w:t xml:space="preserve">RCW 28A.150.220 Basic Education – Minimum instructional requirements – Program accessibility – Rules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Chapter 28A.225 RCW Compulsory School Attendance and Admission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RCW 28A.230.090 High School graduation requirements or equivalencies – Reevaluation of graduation requirements – Review and authorization of proposed changes – Credit for courses taken before attending high school – Postsecondary credit equivalencies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Chapter 28A.250 RCW Online Learning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RCW 28A.320.035 Contracting out – Board’s powers and duties – Goods and services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Chapter 180-51 WAC High School Graduation Requirements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WAC 392-121-182 Alternative learning experience requirements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WAC 392-121-188 Instruction provided under contract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WAC 392-410-310 Equivalency course of study – Credit for correspondence courses, electronically mediated courses, and college courses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D76B8F">
            <w:r>
              <w:t xml:space="preserve">Chapter 392-502 Online learning — Approval of multidistrict on-line providers </w:t>
            </w:r>
          </w:p>
        </w:tc>
      </w:tr>
      <w:tr w:rsidR="001B48CA">
        <w:trPr>
          <w:tblCellSpacing w:w="15" w:type="dxa"/>
        </w:trPr>
        <w:tc>
          <w:tcPr>
            <w:tcW w:w="3000" w:type="dxa"/>
            <w:vAlign w:val="center"/>
            <w:hideMark/>
          </w:tcPr>
          <w:p w:rsidR="001B48CA" w:rsidRDefault="001B48CA"/>
        </w:tc>
        <w:tc>
          <w:tcPr>
            <w:tcW w:w="0" w:type="auto"/>
            <w:vAlign w:val="center"/>
            <w:hideMark/>
          </w:tcPr>
          <w:p w:rsidR="001B48CA" w:rsidRDefault="001B48CA"/>
        </w:tc>
      </w:tr>
    </w:tbl>
    <w:p w:rsidR="00BE6100" w:rsidRDefault="00BE6100" w:rsidP="00BE6100">
      <w:pPr>
        <w:pStyle w:val="NormalWeb"/>
      </w:pPr>
    </w:p>
    <w:p w:rsidR="00D76B8F" w:rsidRPr="00085795" w:rsidRDefault="00D76B8F">
      <w:pPr>
        <w:pStyle w:val="NormalWeb"/>
        <w:rPr>
          <w:color w:val="999999"/>
          <w:sz w:val="18"/>
          <w:szCs w:val="18"/>
        </w:rPr>
      </w:pPr>
      <w:r>
        <w:t xml:space="preserve">Adoption Date: </w:t>
      </w:r>
      <w:r w:rsidR="00BD7A4F">
        <w:t>06/09/2015</w:t>
      </w:r>
      <w:bookmarkStart w:id="0" w:name="_GoBack"/>
      <w:bookmarkEnd w:id="0"/>
      <w:r>
        <w:br/>
        <w:t xml:space="preserve">Classification: </w:t>
      </w:r>
      <w:r>
        <w:rPr>
          <w:b/>
          <w:bCs/>
        </w:rPr>
        <w:t>Essential</w:t>
      </w:r>
      <w:r>
        <w:br/>
        <w:t xml:space="preserve">Revised Dates: </w:t>
      </w:r>
      <w:r w:rsidR="00085795">
        <w:rPr>
          <w:color w:val="999999"/>
          <w:sz w:val="18"/>
          <w:szCs w:val="18"/>
        </w:rPr>
        <w:t>12.09; 02.14</w:t>
      </w:r>
    </w:p>
    <w:sectPr w:rsidR="00D76B8F" w:rsidRPr="00085795" w:rsidSect="00BD7A4F">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BE6100"/>
    <w:rsid w:val="00085795"/>
    <w:rsid w:val="001B48CA"/>
    <w:rsid w:val="009E706D"/>
    <w:rsid w:val="00BD7A4F"/>
    <w:rsid w:val="00BE6100"/>
    <w:rsid w:val="00D7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2855-7E67-4368-A16B-73F2F577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5</cp:revision>
  <cp:lastPrinted>2015-03-24T20:51:00Z</cp:lastPrinted>
  <dcterms:created xsi:type="dcterms:W3CDTF">2015-03-24T20:51:00Z</dcterms:created>
  <dcterms:modified xsi:type="dcterms:W3CDTF">2015-10-15T22:12:00Z</dcterms:modified>
</cp:coreProperties>
</file>