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14D" w:rsidRDefault="00673C87">
      <w:pPr>
        <w:jc w:val="right"/>
      </w:pPr>
      <w:r>
        <w:rPr>
          <w:b/>
          <w:bCs/>
        </w:rPr>
        <w:t>Policy: 2320</w:t>
      </w:r>
      <w:r>
        <w:rPr>
          <w:b/>
          <w:bCs/>
        </w:rPr>
        <w:br/>
        <w:t>Section: 2000 - Instruction</w:t>
      </w:r>
    </w:p>
    <w:p w:rsidR="00B8714D" w:rsidRDefault="00F272FD">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B8714D" w:rsidRDefault="00B8714D">
      <w:pPr>
        <w:rPr>
          <w:rFonts w:ascii="Times New Roman" w:eastAsia="Times New Roman" w:hAnsi="Times New Roman"/>
          <w:sz w:val="24"/>
          <w:szCs w:val="24"/>
        </w:rPr>
      </w:pPr>
    </w:p>
    <w:p w:rsidR="00B8714D" w:rsidRDefault="00673C87">
      <w:pPr>
        <w:pStyle w:val="NormalWeb"/>
        <w:rPr>
          <w:sz w:val="32"/>
          <w:szCs w:val="32"/>
        </w:rPr>
      </w:pPr>
      <w:r>
        <w:rPr>
          <w:b/>
          <w:bCs/>
          <w:sz w:val="32"/>
          <w:szCs w:val="32"/>
        </w:rPr>
        <w:t xml:space="preserve">Field Trips, Excursions </w:t>
      </w:r>
      <w:proofErr w:type="gramStart"/>
      <w:r>
        <w:rPr>
          <w:b/>
          <w:bCs/>
          <w:sz w:val="32"/>
          <w:szCs w:val="32"/>
        </w:rPr>
        <w:t>And</w:t>
      </w:r>
      <w:proofErr w:type="gramEnd"/>
      <w:r>
        <w:rPr>
          <w:b/>
          <w:bCs/>
          <w:sz w:val="32"/>
          <w:szCs w:val="32"/>
        </w:rPr>
        <w:t xml:space="preserve"> Outdoor Education</w:t>
      </w:r>
    </w:p>
    <w:p w:rsidR="00B8714D" w:rsidRDefault="00B8714D">
      <w:pPr>
        <w:rPr>
          <w:rFonts w:ascii="Times New Roman" w:eastAsia="Times New Roman" w:hAnsi="Times New Roman"/>
          <w:sz w:val="24"/>
          <w:szCs w:val="24"/>
        </w:rPr>
      </w:pPr>
    </w:p>
    <w:p w:rsidR="00B8714D" w:rsidRDefault="00673C87">
      <w:pPr>
        <w:pStyle w:val="NormalWeb"/>
      </w:pPr>
      <w:r>
        <w:rPr>
          <w:sz w:val="18"/>
          <w:szCs w:val="18"/>
        </w:rPr>
        <w:t>The board recognizes that field trips</w:t>
      </w:r>
      <w:r>
        <w:rPr>
          <w:rStyle w:val="Strong"/>
          <w:sz w:val="18"/>
          <w:szCs w:val="18"/>
        </w:rPr>
        <w:t>,</w:t>
      </w:r>
      <w:r>
        <w:rPr>
          <w:sz w:val="18"/>
          <w:szCs w:val="18"/>
        </w:rPr>
        <w:t xml:space="preserve"> when used as a device for teaching and learning integral to the curriculum, are an educationally sound and important ingredient in the instructional program of the schools. Such trips can supplement and enrich classroom activities by providing learning experiences in an environment beyond the classroom. </w:t>
      </w:r>
    </w:p>
    <w:p w:rsidR="00B8714D" w:rsidRDefault="00673C87">
      <w:pPr>
        <w:pStyle w:val="NormalWeb"/>
      </w:pPr>
      <w:r>
        <w:t> </w:t>
      </w:r>
    </w:p>
    <w:p w:rsidR="00B8714D" w:rsidRDefault="00673C87">
      <w:pPr>
        <w:pStyle w:val="NormalWeb"/>
      </w:pPr>
      <w:r>
        <w:rPr>
          <w:sz w:val="18"/>
          <w:szCs w:val="18"/>
        </w:rPr>
        <w:t xml:space="preserve">Field trips that take students out of the state or keep students out of the district overnight must be approved in advance by the board. Outdoor education resident school plans will be presented to the board for annual approval. The superintendent has the authority to approve all other field trips. </w:t>
      </w:r>
    </w:p>
    <w:p w:rsidR="00B8714D" w:rsidRDefault="00673C87">
      <w:pPr>
        <w:pStyle w:val="NormalWeb"/>
      </w:pPr>
      <w:r>
        <w:t> </w:t>
      </w:r>
    </w:p>
    <w:p w:rsidR="00B8714D" w:rsidRDefault="00673C87">
      <w:pPr>
        <w:pStyle w:val="NormalWeb"/>
      </w:pPr>
      <w:r>
        <w:rPr>
          <w:sz w:val="18"/>
          <w:szCs w:val="18"/>
        </w:rPr>
        <w:t xml:space="preserve">The superintendent will develop procedures for the operation of a field trip or an outdoor education activity which will ensure that the safety of the student is protected and that parent permission is obtained before the student leaves the school. Each field trip must be integrated with the curriculum and coordinated with classroom activities that enhance its usefulness. Private vehicles may be used to transport students if approval is obtained in advance from the principal. </w:t>
      </w:r>
    </w:p>
    <w:p w:rsidR="00B8714D" w:rsidRDefault="00673C87">
      <w:pPr>
        <w:pStyle w:val="NormalWeb"/>
      </w:pPr>
      <w:r>
        <w:t> </w:t>
      </w:r>
    </w:p>
    <w:p w:rsidR="00B8714D" w:rsidRDefault="00673C87">
      <w:pPr>
        <w:pStyle w:val="NormalWeb"/>
      </w:pPr>
      <w:r>
        <w:rPr>
          <w:sz w:val="18"/>
          <w:szCs w:val="18"/>
        </w:rPr>
        <w:t xml:space="preserve">No staff member may recruit students for any privately arranged field trip or excursion without board permission. </w:t>
      </w:r>
    </w:p>
    <w:p w:rsidR="00B8714D" w:rsidRDefault="00673C87">
      <w:pPr>
        <w:pStyle w:val="NormalWeb"/>
      </w:pPr>
      <w:r>
        <w:t> </w:t>
      </w:r>
    </w:p>
    <w:p w:rsidR="00B8714D" w:rsidRDefault="00B8714D">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037"/>
      </w:tblGrid>
      <w:tr w:rsidR="00B8714D">
        <w:trPr>
          <w:tblCellSpacing w:w="15" w:type="dxa"/>
        </w:trPr>
        <w:tc>
          <w:tcPr>
            <w:tcW w:w="3000" w:type="dxa"/>
            <w:vAlign w:val="center"/>
            <w:hideMark/>
          </w:tcPr>
          <w:p w:rsidR="00B8714D" w:rsidRDefault="00673C87">
            <w:r>
              <w:t xml:space="preserve">Cross References: </w:t>
            </w:r>
          </w:p>
        </w:tc>
        <w:tc>
          <w:tcPr>
            <w:tcW w:w="0" w:type="auto"/>
            <w:vAlign w:val="center"/>
            <w:hideMark/>
          </w:tcPr>
          <w:p w:rsidR="00B8714D" w:rsidRDefault="00673C87">
            <w:r>
              <w:t xml:space="preserve">6625 - Private Vehicle Transportation </w:t>
            </w:r>
          </w:p>
        </w:tc>
      </w:tr>
      <w:tr w:rsidR="00B8714D">
        <w:trPr>
          <w:tblCellSpacing w:w="15" w:type="dxa"/>
        </w:trPr>
        <w:tc>
          <w:tcPr>
            <w:tcW w:w="3000" w:type="dxa"/>
            <w:vAlign w:val="center"/>
            <w:hideMark/>
          </w:tcPr>
          <w:p w:rsidR="00B8714D" w:rsidRDefault="00B8714D"/>
        </w:tc>
        <w:tc>
          <w:tcPr>
            <w:tcW w:w="0" w:type="auto"/>
            <w:vAlign w:val="center"/>
            <w:hideMark/>
          </w:tcPr>
          <w:p w:rsidR="00B8714D" w:rsidRDefault="00673C87">
            <w:r>
              <w:t xml:space="preserve">3520 - Student Fees, Fines, or Charges </w:t>
            </w:r>
          </w:p>
        </w:tc>
      </w:tr>
      <w:tr w:rsidR="00B8714D">
        <w:trPr>
          <w:tblCellSpacing w:w="15" w:type="dxa"/>
        </w:trPr>
        <w:tc>
          <w:tcPr>
            <w:tcW w:w="3000" w:type="dxa"/>
            <w:vAlign w:val="center"/>
            <w:hideMark/>
          </w:tcPr>
          <w:p w:rsidR="00B8714D" w:rsidRDefault="00B8714D"/>
        </w:tc>
        <w:tc>
          <w:tcPr>
            <w:tcW w:w="0" w:type="auto"/>
            <w:vAlign w:val="center"/>
            <w:hideMark/>
          </w:tcPr>
          <w:p w:rsidR="00B8714D" w:rsidRDefault="00B8714D"/>
        </w:tc>
      </w:tr>
    </w:tbl>
    <w:p w:rsidR="00B8714D" w:rsidRDefault="00B8714D">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103"/>
      </w:tblGrid>
      <w:tr w:rsidR="00B8714D">
        <w:trPr>
          <w:tblCellSpacing w:w="15" w:type="dxa"/>
        </w:trPr>
        <w:tc>
          <w:tcPr>
            <w:tcW w:w="3000" w:type="dxa"/>
            <w:vAlign w:val="center"/>
            <w:hideMark/>
          </w:tcPr>
          <w:p w:rsidR="00B8714D" w:rsidRDefault="00673C87">
            <w:r>
              <w:t xml:space="preserve">Legal References: </w:t>
            </w:r>
          </w:p>
        </w:tc>
        <w:tc>
          <w:tcPr>
            <w:tcW w:w="0" w:type="auto"/>
            <w:vAlign w:val="center"/>
            <w:hideMark/>
          </w:tcPr>
          <w:p w:rsidR="00B8714D" w:rsidRDefault="00673C87">
            <w:r>
              <w:t xml:space="preserve">RCW 28A.330.100(5) Additional powers of board </w:t>
            </w:r>
          </w:p>
        </w:tc>
      </w:tr>
      <w:tr w:rsidR="00B8714D">
        <w:trPr>
          <w:tblCellSpacing w:w="15" w:type="dxa"/>
        </w:trPr>
        <w:tc>
          <w:tcPr>
            <w:tcW w:w="3000" w:type="dxa"/>
            <w:vAlign w:val="center"/>
            <w:hideMark/>
          </w:tcPr>
          <w:p w:rsidR="00B8714D" w:rsidRDefault="00B8714D"/>
        </w:tc>
        <w:tc>
          <w:tcPr>
            <w:tcW w:w="0" w:type="auto"/>
            <w:vAlign w:val="center"/>
            <w:hideMark/>
          </w:tcPr>
          <w:p w:rsidR="00B8714D" w:rsidRDefault="00673C87">
            <w:r>
              <w:t xml:space="preserve">RCW 67.20.020 Contracts for cooperation </w:t>
            </w:r>
          </w:p>
        </w:tc>
      </w:tr>
      <w:tr w:rsidR="00B8714D">
        <w:trPr>
          <w:tblCellSpacing w:w="15" w:type="dxa"/>
        </w:trPr>
        <w:tc>
          <w:tcPr>
            <w:tcW w:w="3000" w:type="dxa"/>
            <w:vAlign w:val="center"/>
            <w:hideMark/>
          </w:tcPr>
          <w:p w:rsidR="00B8714D" w:rsidRDefault="00B8714D"/>
        </w:tc>
        <w:tc>
          <w:tcPr>
            <w:tcW w:w="0" w:type="auto"/>
            <w:vAlign w:val="center"/>
            <w:hideMark/>
          </w:tcPr>
          <w:p w:rsidR="00B8714D" w:rsidRDefault="00673C87">
            <w:r>
              <w:t xml:space="preserve">WAC 181-87-090 Improper remunerative conduct </w:t>
            </w:r>
          </w:p>
        </w:tc>
      </w:tr>
      <w:tr w:rsidR="00B8714D">
        <w:trPr>
          <w:tblCellSpacing w:w="15" w:type="dxa"/>
        </w:trPr>
        <w:tc>
          <w:tcPr>
            <w:tcW w:w="3000" w:type="dxa"/>
            <w:vAlign w:val="center"/>
            <w:hideMark/>
          </w:tcPr>
          <w:p w:rsidR="00B8714D" w:rsidRDefault="00B8714D"/>
        </w:tc>
        <w:tc>
          <w:tcPr>
            <w:tcW w:w="0" w:type="auto"/>
            <w:vAlign w:val="center"/>
            <w:hideMark/>
          </w:tcPr>
          <w:p w:rsidR="00B8714D" w:rsidRDefault="00B8714D"/>
        </w:tc>
      </w:tr>
    </w:tbl>
    <w:p w:rsidR="00B8714D" w:rsidRDefault="00B8714D">
      <w:pPr>
        <w:spacing w:after="240"/>
        <w:rPr>
          <w:rFonts w:ascii="Times New Roman" w:eastAsia="Times New Roman" w:hAnsi="Times New Roman"/>
          <w:sz w:val="24"/>
          <w:szCs w:val="24"/>
        </w:rPr>
      </w:pPr>
    </w:p>
    <w:p w:rsidR="009223FE" w:rsidRPr="00B658AF" w:rsidRDefault="00673C87" w:rsidP="009223FE">
      <w:pPr>
        <w:pStyle w:val="NormalWeb"/>
        <w:rPr>
          <w:color w:val="999999"/>
          <w:sz w:val="18"/>
        </w:rPr>
      </w:pPr>
      <w:r>
        <w:t xml:space="preserve">Adoption Date: </w:t>
      </w:r>
      <w:r w:rsidR="00F272FD">
        <w:t>06/09/2015</w:t>
      </w:r>
      <w:bookmarkStart w:id="0" w:name="_GoBack"/>
      <w:bookmarkEnd w:id="0"/>
      <w:r>
        <w:br/>
        <w:t xml:space="preserve">Classification: </w:t>
      </w:r>
      <w:r>
        <w:rPr>
          <w:b/>
          <w:bCs/>
        </w:rPr>
        <w:t>Priority</w:t>
      </w:r>
      <w:r>
        <w:br/>
        <w:t xml:space="preserve">Revised Dates: </w:t>
      </w:r>
      <w:r w:rsidR="00B658AF">
        <w:rPr>
          <w:sz w:val="18"/>
        </w:rPr>
        <w:t>10.07; 12.11</w:t>
      </w:r>
    </w:p>
    <w:p w:rsidR="00673C87" w:rsidRDefault="00673C87">
      <w:pPr>
        <w:pStyle w:val="NormalWeb"/>
        <w:rPr>
          <w:color w:val="999999"/>
        </w:rPr>
      </w:pPr>
    </w:p>
    <w:sectPr w:rsidR="00673C87" w:rsidSect="00F272F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9223FE"/>
    <w:rsid w:val="00673C87"/>
    <w:rsid w:val="009223FE"/>
    <w:rsid w:val="00B658AF"/>
    <w:rsid w:val="00B8714D"/>
    <w:rsid w:val="00F2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cp:lastPrinted>2015-03-24T21:29:00Z</cp:lastPrinted>
  <dcterms:created xsi:type="dcterms:W3CDTF">2015-03-24T21:30:00Z</dcterms:created>
  <dcterms:modified xsi:type="dcterms:W3CDTF">2015-10-16T19:21:00Z</dcterms:modified>
</cp:coreProperties>
</file>